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tabs>
          <w:tab w:val="right" w:leader="dot" w:pos="9071"/>
          <w:tab w:val="clear" w:pos="8494"/>
        </w:tabs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bookmarkStart w:id="0" w:name="_Toc96938324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集运手机端操作手册</w:t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TOC \o "1-1" \h \u </w:instrText>
      </w:r>
      <w:r>
        <w:fldChar w:fldCharType="separate"/>
      </w:r>
      <w:r>
        <w:fldChar w:fldCharType="begin"/>
      </w:r>
      <w:r>
        <w:instrText xml:space="preserve"> HYPERLINK \l _Toc23070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创建账号和用户登录</w:t>
      </w:r>
      <w:r>
        <w:tab/>
      </w:r>
      <w:r>
        <w:fldChar w:fldCharType="begin"/>
      </w:r>
      <w:r>
        <w:instrText xml:space="preserve"> PAGEREF _Toc23070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_Toc10460 </w:instrText>
      </w:r>
      <w:r>
        <w:fldChar w:fldCharType="separate"/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查询报价</w:t>
      </w:r>
      <w:r>
        <w:tab/>
      </w:r>
      <w:r>
        <w:fldChar w:fldCharType="begin"/>
      </w:r>
      <w:r>
        <w:instrText xml:space="preserve"> PAGEREF _Toc10460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_Toc6753 </w:instrText>
      </w:r>
      <w:r>
        <w:fldChar w:fldCharType="separate"/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集运流程（购物-包裹登记-下单-支付）</w:t>
      </w:r>
      <w:r>
        <w:tab/>
      </w:r>
      <w:r>
        <w:fldChar w:fldCharType="begin"/>
      </w:r>
      <w:r>
        <w:instrText xml:space="preserve"> PAGEREF _Toc6753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_Toc26758 </w:instrText>
      </w:r>
      <w:r>
        <w:fldChar w:fldCharType="separate"/>
      </w:r>
      <w:r>
        <w:rPr>
          <w:rFonts w:hint="eastAsia"/>
          <w:lang w:val="en-US" w:eastAsia="zh-CN"/>
        </w:rPr>
        <w:t>4 信息维护</w:t>
      </w:r>
      <w:r>
        <w:tab/>
      </w:r>
      <w:r>
        <w:fldChar w:fldCharType="begin"/>
      </w:r>
      <w:r>
        <w:instrText xml:space="preserve"> PAGEREF _Toc26758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_Toc8745 </w:instrText>
      </w:r>
      <w:r>
        <w:fldChar w:fldCharType="separate"/>
      </w: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邀请返利</w:t>
      </w:r>
      <w:r>
        <w:tab/>
      </w:r>
      <w:r>
        <w:fldChar w:fldCharType="begin"/>
      </w:r>
      <w:r>
        <w:instrText xml:space="preserve"> PAGEREF _Toc8745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_Toc9342 </w:instrText>
      </w:r>
      <w:r>
        <w:fldChar w:fldCharType="separate"/>
      </w:r>
      <w:r>
        <w:rPr>
          <w:rFonts w:hint="eastAsia"/>
          <w:lang w:val="en-US" w:eastAsia="zh-CN"/>
        </w:rPr>
        <w:t xml:space="preserve">6 </w:t>
      </w:r>
      <w:r>
        <w:rPr>
          <w:rFonts w:hint="eastAsia"/>
        </w:rPr>
        <w:t>优惠券</w:t>
      </w:r>
      <w:r>
        <w:tab/>
      </w:r>
      <w:r>
        <w:fldChar w:fldCharType="begin"/>
      </w:r>
      <w:r>
        <w:instrText xml:space="preserve"> PAGEREF _Toc9342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_Toc32112 </w:instrText>
      </w:r>
      <w:r>
        <w:fldChar w:fldCharType="separate"/>
      </w:r>
      <w:r>
        <w:rPr>
          <w:rFonts w:hint="eastAsia"/>
          <w:lang w:val="en-US" w:eastAsia="zh-CN"/>
        </w:rPr>
        <w:t xml:space="preserve">7 </w:t>
      </w:r>
      <w:r>
        <w:rPr>
          <w:rFonts w:hint="eastAsia"/>
        </w:rPr>
        <w:t>会员充值</w:t>
      </w:r>
      <w:r>
        <w:tab/>
      </w:r>
      <w:r>
        <w:fldChar w:fldCharType="begin"/>
      </w:r>
      <w:r>
        <w:instrText xml:space="preserve"> PAGEREF _Toc32112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_Toc18871 </w:instrText>
      </w:r>
      <w:r>
        <w:fldChar w:fldCharType="separate"/>
      </w:r>
      <w:r>
        <w:rPr>
          <w:rFonts w:hint="eastAsia"/>
          <w:lang w:val="en-US" w:eastAsia="zh-CN"/>
        </w:rPr>
        <w:t xml:space="preserve">8 </w:t>
      </w:r>
      <w:r>
        <w:rPr>
          <w:rFonts w:hint="eastAsia"/>
        </w:rPr>
        <w:t>物流查询</w:t>
      </w:r>
      <w:r>
        <w:tab/>
      </w:r>
      <w:r>
        <w:fldChar w:fldCharType="begin"/>
      </w:r>
      <w:r>
        <w:instrText xml:space="preserve"> PAGEREF _Toc18871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_Toc15036 </w:instrText>
      </w:r>
      <w:r>
        <w:fldChar w:fldCharType="separate"/>
      </w:r>
      <w:r>
        <w:rPr>
          <w:rFonts w:hint="eastAsia" w:eastAsiaTheme="majorEastAsia"/>
          <w:bCs/>
          <w:lang w:val="en-US" w:eastAsia="zh-CN"/>
        </w:rPr>
        <w:t xml:space="preserve">9 </w:t>
      </w:r>
      <w:r>
        <w:rPr>
          <w:rFonts w:hint="eastAsia"/>
          <w:bCs/>
        </w:rPr>
        <w:t>开通会员</w:t>
      </w:r>
      <w:r>
        <w:tab/>
      </w:r>
      <w:r>
        <w:fldChar w:fldCharType="begin"/>
      </w:r>
      <w:r>
        <w:instrText xml:space="preserve"> PAGEREF _Toc15036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_Toc5266 </w:instrText>
      </w:r>
      <w:r>
        <w:fldChar w:fldCharType="separate"/>
      </w:r>
      <w:r>
        <w:rPr>
          <w:rFonts w:hint="eastAsia"/>
          <w:lang w:val="en-US" w:eastAsia="zh-CN"/>
        </w:rPr>
        <w:t xml:space="preserve">10 </w:t>
      </w:r>
      <w:r>
        <w:rPr>
          <w:rFonts w:hint="eastAsia"/>
        </w:rPr>
        <w:t>推广中心</w:t>
      </w:r>
      <w:r>
        <w:tab/>
      </w:r>
      <w:r>
        <w:fldChar w:fldCharType="begin"/>
      </w:r>
      <w:r>
        <w:instrText xml:space="preserve"> PAGEREF _Toc5266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071"/>
          <w:tab w:val="clear" w:pos="8494"/>
        </w:tabs>
      </w:pPr>
      <w:r>
        <w:fldChar w:fldCharType="begin"/>
      </w:r>
      <w:r>
        <w:instrText xml:space="preserve"> HYPERLINK \l _Toc13585 </w:instrText>
      </w:r>
      <w:r>
        <w:fldChar w:fldCharType="separate"/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 xml:space="preserve">1 </w:t>
      </w:r>
      <w:r>
        <w:rPr>
          <w:rFonts w:hint="eastAsia"/>
        </w:rPr>
        <w:t>修改密码和退出登录</w:t>
      </w:r>
      <w:r>
        <w:tab/>
      </w:r>
      <w:r>
        <w:fldChar w:fldCharType="begin"/>
      </w:r>
      <w:r>
        <w:instrText xml:space="preserve"> PAGEREF _Toc13585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r>
        <w:br w:type="page"/>
      </w:r>
    </w:p>
    <w:p/>
    <w:p>
      <w:r>
        <w:fldChar w:fldCharType="end"/>
      </w:r>
    </w:p>
    <w:p>
      <w:pPr>
        <w:pStyle w:val="2"/>
        <w:bidi w:val="0"/>
      </w:pPr>
      <w:bookmarkStart w:id="1" w:name="_Toc17097"/>
      <w:bookmarkStart w:id="2" w:name="_Toc23070"/>
      <w: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创建账号和用户登录</w:t>
      </w:r>
      <w:bookmarkEnd w:id="0"/>
      <w:bookmarkEnd w:id="1"/>
      <w:bookmarkEnd w:id="2"/>
    </w:p>
    <w:p>
      <w:pPr>
        <w:pStyle w:val="11"/>
        <w:ind w:left="360" w:firstLine="0" w:firstLineChars="0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支持未注册用户微信一键登录（自动登录）</w:t>
      </w:r>
    </w:p>
    <w:p>
      <w:pPr>
        <w:pStyle w:val="3"/>
        <w:bidi w:val="0"/>
      </w:pPr>
      <w:bookmarkStart w:id="3" w:name="_Toc21777"/>
      <w:r>
        <w:rPr>
          <w:rFonts w:hint="eastAsia"/>
        </w:rPr>
        <w:t>1.1新用户注册</w:t>
      </w:r>
      <w:bookmarkEnd w:id="3"/>
    </w:p>
    <w:p>
      <w:pPr>
        <w:ind w:left="210" w:hanging="210" w:hangingChars="100"/>
      </w:pPr>
      <w:r>
        <w:drawing>
          <wp:inline distT="0" distB="0" distL="0" distR="0">
            <wp:extent cx="2363470" cy="3579495"/>
            <wp:effectExtent l="9525" t="9525" r="2730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357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491105" cy="3579495"/>
            <wp:effectExtent l="9525" t="9525" r="139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357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4" w:name="_Toc9118"/>
      <w:r>
        <w:rPr>
          <w:rFonts w:hint="eastAsia"/>
        </w:rPr>
        <w:t>1.2登录</w:t>
      </w:r>
      <w:bookmarkEnd w:id="4"/>
    </w:p>
    <w:p>
      <w:pPr>
        <w:pStyle w:val="11"/>
        <w:bidi w:val="0"/>
        <w:rPr>
          <w:color w:val="FF0000"/>
        </w:rPr>
      </w:pPr>
      <w:r>
        <w:rPr>
          <w:color w:val="FF0000"/>
        </w:rPr>
        <w:t>物流通网页账号密码可直接用于登录集运</w:t>
      </w:r>
    </w:p>
    <w:p>
      <w:pPr>
        <w:rPr>
          <w:color w:val="FF0000"/>
        </w:rPr>
      </w:pPr>
      <w:r>
        <w:drawing>
          <wp:inline distT="0" distB="0" distL="0" distR="0">
            <wp:extent cx="2734945" cy="3653155"/>
            <wp:effectExtent l="9525" t="9525" r="1778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653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5" w:name="_Toc96938325"/>
      <w:bookmarkStart w:id="6" w:name="_Toc25014"/>
      <w:bookmarkStart w:id="7" w:name="_Toc10460"/>
      <w:r>
        <w:rPr>
          <w:rFonts w:hint="eastAsia"/>
        </w:rPr>
        <w:t>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查询报价</w:t>
      </w:r>
      <w:bookmarkEnd w:id="5"/>
      <w:bookmarkEnd w:id="6"/>
      <w:bookmarkEnd w:id="7"/>
    </w:p>
    <w:p>
      <w:pPr>
        <w:pStyle w:val="11"/>
        <w:bidi w:val="0"/>
        <w:rPr>
          <w:rFonts w:hint="eastAsia"/>
          <w:color w:val="FF0000"/>
        </w:rPr>
      </w:pPr>
      <w:r>
        <w:rPr>
          <w:rFonts w:hint="eastAsia"/>
          <w:color w:val="FF0000"/>
        </w:rPr>
        <w:t>支持设置不同渠道的首重、续重、首重价格、续重价格、支持不同目的地、不同派送时效（特快3-9天、普快10-16天、经济实惠17-40天）选择以及偏远、附加费等自动计算运费，提供网页前端运费预算。</w:t>
      </w:r>
    </w:p>
    <w:p>
      <w:pPr>
        <w:rPr>
          <w:rFonts w:hint="eastAsia" w:asciiTheme="minorEastAsia" w:hAnsiTheme="minorEastAsia"/>
          <w:color w:val="FF0000"/>
          <w:sz w:val="28"/>
          <w:szCs w:val="28"/>
        </w:rPr>
      </w:pPr>
    </w:p>
    <w:p>
      <w:pPr>
        <w:pStyle w:val="14"/>
        <w:bidi w:val="0"/>
      </w:pPr>
      <w:r>
        <w:drawing>
          <wp:inline distT="0" distB="0" distL="0" distR="0">
            <wp:extent cx="2643505" cy="4284345"/>
            <wp:effectExtent l="9525" t="9525" r="1397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4284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57805" cy="4293870"/>
            <wp:effectExtent l="9525" t="9525" r="13970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4293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05405" cy="3951605"/>
            <wp:effectExtent l="9525" t="9525" r="1397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951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2739390" cy="3950970"/>
            <wp:effectExtent l="9525" t="9525" r="13335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3950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bidi w:val="0"/>
      </w:pPr>
      <w:r>
        <w:drawing>
          <wp:inline distT="0" distB="0" distL="0" distR="0">
            <wp:extent cx="2491105" cy="4208145"/>
            <wp:effectExtent l="9525" t="9525" r="139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4208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8" w:name="_Toc96938326"/>
      <w:bookmarkStart w:id="9" w:name="_Toc15458"/>
      <w:bookmarkStart w:id="10" w:name="_Toc6753"/>
      <w:r>
        <w:rPr>
          <w:rFonts w:hint="eastAsia"/>
        </w:rPr>
        <w:t>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集运流程（购物-包裹登记-下单-支付）</w:t>
      </w:r>
      <w:bookmarkEnd w:id="8"/>
      <w:bookmarkEnd w:id="9"/>
      <w:bookmarkEnd w:id="10"/>
    </w:p>
    <w:p>
      <w:pPr>
        <w:pStyle w:val="14"/>
        <w:bidi w:val="0"/>
      </w:pPr>
      <w:r>
        <w:drawing>
          <wp:inline distT="0" distB="0" distL="0" distR="0">
            <wp:extent cx="2491105" cy="4075430"/>
            <wp:effectExtent l="9525" t="9525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4075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1" w:name="_Toc30453"/>
      <w:r>
        <w:rPr>
          <w:rFonts w:hint="eastAsia"/>
        </w:rPr>
        <w:t>3.1购物</w:t>
      </w:r>
      <w:bookmarkEnd w:id="11"/>
    </w:p>
    <w:p>
      <w:pPr>
        <w:pStyle w:val="11"/>
        <w:bidi w:val="0"/>
        <w:rPr>
          <w:color w:val="FF0000"/>
        </w:rPr>
      </w:pPr>
      <w:r>
        <w:rPr>
          <w:rFonts w:hint="eastAsia"/>
          <w:color w:val="FF0000"/>
        </w:rPr>
        <w:t>用户可通过国内购物平台购物，根据仓库地址将商品寄送到指定仓库，由专业人士进行收货打包处理。</w:t>
      </w:r>
    </w:p>
    <w:p>
      <w:pPr>
        <w:pStyle w:val="14"/>
        <w:bidi w:val="0"/>
      </w:pPr>
      <w:r>
        <w:drawing>
          <wp:inline distT="0" distB="0" distL="114300" distR="114300">
            <wp:extent cx="2597150" cy="3958590"/>
            <wp:effectExtent l="9525" t="9525" r="22225" b="1333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958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2" w:name="_Toc2860"/>
      <w:r>
        <w:rPr>
          <w:rFonts w:hint="eastAsia"/>
        </w:rPr>
        <w:t>3.2包裹登记</w:t>
      </w:r>
      <w:bookmarkEnd w:id="12"/>
    </w:p>
    <w:p>
      <w:pPr>
        <w:pStyle w:val="11"/>
        <w:ind w:left="360" w:firstLine="0" w:firstLineChars="0"/>
      </w:pPr>
    </w:p>
    <w:p>
      <w:pPr>
        <w:pStyle w:val="14"/>
        <w:bidi w:val="0"/>
      </w:pPr>
      <w:r>
        <w:drawing>
          <wp:inline distT="0" distB="0" distL="0" distR="0">
            <wp:extent cx="2624455" cy="4036695"/>
            <wp:effectExtent l="9525" t="9525" r="1397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4036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3"/>
        <w:bidi w:val="0"/>
      </w:pPr>
      <w:bookmarkStart w:id="13" w:name="_Toc22436"/>
      <w:r>
        <w:rPr>
          <w:rFonts w:hint="eastAsia"/>
        </w:rPr>
        <w:t>3.3</w:t>
      </w:r>
      <w:r>
        <w:t xml:space="preserve"> </w:t>
      </w:r>
      <w:r>
        <w:rPr>
          <w:rFonts w:hint="eastAsia"/>
        </w:rPr>
        <w:t>集运-包裹登记好后选择包裹点击去集运-跳转至快捷下单界面</w:t>
      </w:r>
      <w:bookmarkEnd w:id="13"/>
    </w:p>
    <w:p>
      <w:pPr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待入库为包裹登记后未签收，已入库表示仓库已签收包裹，已集运表示包裹已经下单。包裹有已绑定标识标识包裹已经集运，若无，则表示登记了包裹还未下订单。未集运包裹支删除，如已经下订单的包裹需要取消删除，请联系货代。</w:t>
      </w:r>
    </w:p>
    <w:p>
      <w:pPr>
        <w:pStyle w:val="14"/>
        <w:bidi w:val="0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2491105" cy="3740785"/>
            <wp:effectExtent l="9525" t="9525" r="13970" b="215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3740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rFonts w:hint="eastAsia"/>
        </w:rPr>
      </w:pPr>
    </w:p>
    <w:p>
      <w:pPr>
        <w:pStyle w:val="3"/>
        <w:bidi w:val="0"/>
      </w:pPr>
      <w:bookmarkStart w:id="14" w:name="_Toc6162"/>
      <w:r>
        <w:rPr>
          <w:rFonts w:hint="eastAsia"/>
        </w:rPr>
        <w:t>3.4集运下单</w:t>
      </w:r>
      <w:bookmarkEnd w:id="14"/>
    </w:p>
    <w:p>
      <w:pPr>
        <w:pStyle w:val="11"/>
        <w:bidi w:val="0"/>
      </w:pPr>
      <w:r>
        <w:rPr>
          <w:rFonts w:hint="eastAsia"/>
        </w:rPr>
        <w:t>三种下单方式：a查询报价后根据推荐产品点击去下单；b点击首页快捷下单或下单；c集运页面选定包裹点击去集运）</w:t>
      </w:r>
    </w:p>
    <w:p>
      <w:pPr>
        <w:pStyle w:val="11"/>
        <w:bidi w:val="0"/>
      </w:pPr>
      <w:r>
        <w:rPr>
          <w:rFonts w:hint="eastAsia"/>
        </w:rPr>
        <w:t>以快捷下单为例</w:t>
      </w:r>
    </w:p>
    <w:p>
      <w:pPr>
        <w:pStyle w:val="14"/>
        <w:bidi w:val="0"/>
      </w:pPr>
      <w:r>
        <w:drawing>
          <wp:inline distT="0" distB="0" distL="0" distR="0">
            <wp:extent cx="2567305" cy="3913505"/>
            <wp:effectExtent l="9525" t="9525" r="13970" b="203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913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77795" cy="3924935"/>
            <wp:effectExtent l="9525" t="9525" r="17780" b="279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924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bidi w:val="0"/>
        <w:rPr>
          <w:rFonts w:hint="eastAsia"/>
          <w:lang w:eastAsia="zh-CN"/>
        </w:rPr>
      </w:pPr>
      <w:r>
        <w:drawing>
          <wp:inline distT="0" distB="0" distL="114300" distR="114300">
            <wp:extent cx="2570480" cy="3582035"/>
            <wp:effectExtent l="9525" t="9525" r="10795" b="2794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582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</w:rPr>
        <w:t>下单成功后可在我的订单-代打包查看</w:t>
      </w:r>
    </w:p>
    <w:p>
      <w:pPr>
        <w:pStyle w:val="11"/>
        <w:ind w:left="360" w:firstLine="0" w:firstLineChars="0"/>
        <w:rPr>
          <w:rFonts w:hint="eastAsia"/>
        </w:rPr>
      </w:pPr>
    </w:p>
    <w:p>
      <w:pPr>
        <w:pStyle w:val="3"/>
        <w:bidi w:val="0"/>
      </w:pPr>
      <w:bookmarkStart w:id="15" w:name="_Toc25018"/>
      <w:r>
        <w:rPr>
          <w:rFonts w:hint="eastAsia"/>
        </w:rPr>
        <w:t>3.5下单后等待货代收货打包后就可支付费用</w:t>
      </w:r>
      <w:bookmarkEnd w:id="15"/>
    </w:p>
    <w:p>
      <w:pPr>
        <w:pStyle w:val="14"/>
        <w:bidi w:val="0"/>
      </w:pPr>
      <w:r>
        <w:drawing>
          <wp:inline distT="0" distB="0" distL="0" distR="0">
            <wp:extent cx="2494915" cy="4359910"/>
            <wp:effectExtent l="9525" t="9525" r="1016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4359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651760" cy="4349750"/>
            <wp:effectExtent l="9525" t="9525" r="24765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4349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支付成功后可在已支付查看，已出库和已签收为支付后包裹的轨迹状态。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6" w:name="_Toc11930"/>
      <w:bookmarkStart w:id="17" w:name="_Toc26758"/>
      <w:r>
        <w:rPr>
          <w:rFonts w:hint="eastAsia"/>
          <w:lang w:val="en-US" w:eastAsia="zh-CN"/>
        </w:rPr>
        <w:t>4 信息维护</w:t>
      </w:r>
      <w:bookmarkEnd w:id="16"/>
      <w:bookmarkEnd w:id="17"/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包括我的地址和常用申报信息维护</w:t>
      </w:r>
    </w:p>
    <w:p>
      <w:pPr>
        <w:pStyle w:val="14"/>
        <w:bidi w:val="0"/>
      </w:pPr>
      <w:r>
        <w:drawing>
          <wp:inline distT="0" distB="0" distL="114300" distR="114300">
            <wp:extent cx="2568575" cy="3738245"/>
            <wp:effectExtent l="9525" t="9525" r="12700" b="2413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738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我的地址-此处是维护下单页面的地址薄信息</w:t>
      </w:r>
    </w:p>
    <w:p>
      <w:pPr>
        <w:pStyle w:val="14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2216785" cy="3709670"/>
            <wp:effectExtent l="9525" t="9525" r="21590" b="1460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3709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56460" cy="3728085"/>
            <wp:effectExtent l="9525" t="9525" r="24765" b="1524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728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258060" cy="3698875"/>
            <wp:effectExtent l="9525" t="9525" r="18415" b="2540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698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56790" cy="3701415"/>
            <wp:effectExtent l="9525" t="9525" r="19685" b="2286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3701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常用申报-此处是维护下单界面的常用申报信息</w:t>
      </w:r>
    </w:p>
    <w:p>
      <w:pPr>
        <w:pStyle w:val="14"/>
        <w:bidi w:val="0"/>
      </w:pPr>
      <w:r>
        <w:drawing>
          <wp:inline distT="0" distB="0" distL="114300" distR="114300">
            <wp:extent cx="2305685" cy="3922395"/>
            <wp:effectExtent l="9525" t="9525" r="27940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3922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15540" cy="3932555"/>
            <wp:effectExtent l="9525" t="9525" r="13335" b="2032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932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bidi w:val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282190" cy="4120515"/>
            <wp:effectExtent l="9525" t="9525" r="13335" b="2286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4120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54910" cy="4149090"/>
            <wp:effectExtent l="0" t="0" r="2540" b="381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18" w:name="_Toc96938327"/>
      <w:bookmarkStart w:id="19" w:name="_Toc10852"/>
      <w:bookmarkStart w:id="20" w:name="_Toc8745"/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邀请返利</w:t>
      </w:r>
      <w:bookmarkEnd w:id="18"/>
      <w:bookmarkEnd w:id="19"/>
      <w:bookmarkEnd w:id="20"/>
    </w:p>
    <w:p>
      <w:pPr>
        <w:pStyle w:val="11"/>
        <w:ind w:left="36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支持通过邀请客户获取返利金额，返利金额提现后可直接用于订单支付。</w:t>
      </w:r>
    </w:p>
    <w:p>
      <w:pPr>
        <w:pStyle w:val="14"/>
        <w:bidi w:val="0"/>
      </w:pPr>
      <w:r>
        <w:drawing>
          <wp:inline distT="0" distB="0" distL="0" distR="0">
            <wp:extent cx="2491105" cy="3903345"/>
            <wp:effectExtent l="9525" t="9525" r="1397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3903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91105" cy="3931285"/>
            <wp:effectExtent l="9525" t="9525" r="13970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3931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bidi w:val="0"/>
        <w:rPr>
          <w:rFonts w:hint="eastAsia"/>
        </w:rPr>
      </w:pPr>
      <w:r>
        <w:drawing>
          <wp:inline distT="0" distB="0" distL="0" distR="0">
            <wp:extent cx="2491105" cy="4578985"/>
            <wp:effectExtent l="19050" t="19050" r="2349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457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2"/>
        <w:bidi w:val="0"/>
      </w:pPr>
      <w:bookmarkStart w:id="21" w:name="_Toc96938328"/>
      <w:bookmarkStart w:id="22" w:name="_Toc12279"/>
      <w:bookmarkStart w:id="23" w:name="_Toc9342"/>
      <w:r>
        <w:rPr>
          <w:rFonts w:hint="eastAsia"/>
          <w:lang w:val="en-US" w:eastAsia="zh-CN"/>
        </w:rPr>
        <w:t xml:space="preserve">6 </w:t>
      </w:r>
      <w:r>
        <w:rPr>
          <w:rFonts w:hint="eastAsia"/>
        </w:rPr>
        <w:t>优惠券</w:t>
      </w:r>
      <w:bookmarkEnd w:id="21"/>
      <w:bookmarkEnd w:id="22"/>
      <w:bookmarkEnd w:id="23"/>
    </w:p>
    <w:p>
      <w:pPr>
        <w:pStyle w:val="11"/>
        <w:ind w:left="360" w:firstLine="0" w:firstLineChars="0"/>
      </w:pPr>
    </w:p>
    <w:p>
      <w:pPr>
        <w:pStyle w:val="14"/>
        <w:bidi w:val="0"/>
      </w:pPr>
      <w:r>
        <w:drawing>
          <wp:inline distT="0" distB="0" distL="114300" distR="114300">
            <wp:extent cx="2543810" cy="3856355"/>
            <wp:effectExtent l="9525" t="9525" r="18415" b="2032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3856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1105" cy="3855720"/>
            <wp:effectExtent l="9525" t="9525" r="13970" b="209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3855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1105" cy="4578985"/>
            <wp:effectExtent l="19050" t="19050" r="23495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457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91105" cy="4578985"/>
            <wp:effectExtent l="19050" t="19050" r="2349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457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24" w:name="_Toc96938329"/>
      <w:bookmarkStart w:id="25" w:name="_Toc5082"/>
      <w:bookmarkStart w:id="26" w:name="_Toc32112"/>
      <w:r>
        <w:rPr>
          <w:rFonts w:hint="eastAsia"/>
          <w:lang w:val="en-US" w:eastAsia="zh-CN"/>
        </w:rPr>
        <w:t xml:space="preserve">7 </w:t>
      </w:r>
      <w:r>
        <w:rPr>
          <w:rFonts w:hint="eastAsia"/>
        </w:rPr>
        <w:t>会员充值</w:t>
      </w:r>
      <w:bookmarkEnd w:id="24"/>
      <w:bookmarkEnd w:id="25"/>
      <w:bookmarkEnd w:id="26"/>
    </w:p>
    <w:p>
      <w:pP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用户转账充值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和扫码支付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后由后台人员审核成功计入余额，用户在线充值后自动计入余额。</w:t>
      </w:r>
    </w:p>
    <w:p>
      <w:pPr>
        <w:pStyle w:val="14"/>
        <w:bidi w:val="0"/>
        <w:rPr>
          <w:rFonts w:hint="eastAsia"/>
        </w:rPr>
      </w:pPr>
      <w:r>
        <w:drawing>
          <wp:inline distT="0" distB="0" distL="114300" distR="114300">
            <wp:extent cx="2752090" cy="4563110"/>
            <wp:effectExtent l="9525" t="9525" r="19685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4563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转账充值</w:t>
      </w:r>
    </w:p>
    <w:p>
      <w:pPr>
        <w:pStyle w:val="14"/>
        <w:bidi w:val="0"/>
      </w:pPr>
      <w:r>
        <w:drawing>
          <wp:inline distT="0" distB="0" distL="114300" distR="114300">
            <wp:extent cx="2730500" cy="4410075"/>
            <wp:effectExtent l="9525" t="9525" r="22225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410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扫码支付</w:t>
      </w:r>
    </w:p>
    <w:p>
      <w:pPr>
        <w:pStyle w:val="14"/>
        <w:bidi w:val="0"/>
      </w:pPr>
      <w:r>
        <w:drawing>
          <wp:inline distT="0" distB="0" distL="114300" distR="114300">
            <wp:extent cx="2643505" cy="3893185"/>
            <wp:effectExtent l="9525" t="9525" r="13970" b="2159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rcRect r="10793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3893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在线充值</w:t>
      </w:r>
    </w:p>
    <w:p>
      <w:pPr>
        <w:pStyle w:val="14"/>
        <w:bidi w:val="0"/>
      </w:pPr>
      <w:r>
        <w:drawing>
          <wp:inline distT="0" distB="0" distL="0" distR="0">
            <wp:extent cx="2662555" cy="4578985"/>
            <wp:effectExtent l="9525" t="9525" r="13970" b="215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57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2"/>
        <w:bidi w:val="0"/>
      </w:pPr>
      <w:bookmarkStart w:id="27" w:name="_Toc96938330"/>
      <w:bookmarkStart w:id="28" w:name="_Toc11275"/>
      <w:bookmarkStart w:id="29" w:name="_Toc18871"/>
      <w:r>
        <w:rPr>
          <w:rFonts w:hint="eastAsia"/>
          <w:lang w:val="en-US" w:eastAsia="zh-CN"/>
        </w:rPr>
        <w:t xml:space="preserve">8 </w:t>
      </w:r>
      <w:r>
        <w:rPr>
          <w:rFonts w:hint="eastAsia"/>
        </w:rPr>
        <w:t>物流查询</w:t>
      </w:r>
      <w:bookmarkEnd w:id="27"/>
      <w:bookmarkEnd w:id="28"/>
      <w:bookmarkEnd w:id="29"/>
    </w:p>
    <w:p>
      <w:pPr>
        <w:pStyle w:val="11"/>
        <w:bidi w:val="0"/>
      </w:pPr>
      <w:r>
        <w:rPr>
          <w:rFonts w:hint="eastAsia"/>
        </w:rPr>
        <w:t>可查看订单轨迹</w:t>
      </w:r>
    </w:p>
    <w:p>
      <w:pPr>
        <w:pStyle w:val="14"/>
        <w:bidi w:val="0"/>
      </w:pPr>
      <w:r>
        <w:drawing>
          <wp:inline distT="0" distB="0" distL="114300" distR="114300">
            <wp:extent cx="2609215" cy="4639310"/>
            <wp:effectExtent l="9525" t="9525" r="10160" b="184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4639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0" distR="0">
            <wp:extent cx="2643505" cy="4623435"/>
            <wp:effectExtent l="9525" t="9525" r="13970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4623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Style w:val="15"/>
          <w:b/>
          <w:bCs/>
        </w:rPr>
      </w:pPr>
      <w:bookmarkStart w:id="30" w:name="_Toc29401"/>
      <w:bookmarkStart w:id="31" w:name="_Toc15036"/>
      <w:r>
        <w:rPr>
          <w:rStyle w:val="15"/>
          <w:rFonts w:hint="eastAsia" w:eastAsiaTheme="majorEastAsia"/>
          <w:b/>
          <w:bCs/>
          <w:lang w:val="en-US" w:eastAsia="zh-CN"/>
        </w:rPr>
        <w:t xml:space="preserve">9 </w:t>
      </w:r>
      <w:r>
        <w:rPr>
          <w:rStyle w:val="15"/>
          <w:rFonts w:hint="eastAsia"/>
          <w:b/>
          <w:bCs/>
        </w:rPr>
        <w:t>开通会员</w:t>
      </w:r>
      <w:bookmarkEnd w:id="30"/>
      <w:bookmarkEnd w:id="31"/>
    </w:p>
    <w:p>
      <w:pPr>
        <w:pStyle w:val="11"/>
        <w:bidi w:val="0"/>
      </w:pPr>
      <w:r>
        <w:rPr>
          <w:rFonts w:hint="eastAsia"/>
        </w:rPr>
        <w:t>选择对应会员-点击立即开通-开通会员后可享受会员优惠</w:t>
      </w:r>
    </w:p>
    <w:p>
      <w:pPr>
        <w:pStyle w:val="14"/>
        <w:bidi w:val="0"/>
      </w:pPr>
      <w:r>
        <w:drawing>
          <wp:inline distT="0" distB="0" distL="114300" distR="114300">
            <wp:extent cx="2685415" cy="3990975"/>
            <wp:effectExtent l="9525" t="9525" r="10160" b="1905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529205" cy="4007485"/>
            <wp:effectExtent l="9525" t="9525" r="13970" b="215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4007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bidi w:val="0"/>
      </w:pPr>
      <w:r>
        <w:drawing>
          <wp:inline distT="0" distB="0" distL="0" distR="0">
            <wp:extent cx="2671445" cy="4331970"/>
            <wp:effectExtent l="9525" t="9525" r="24130" b="209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4331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bookmarkStart w:id="38" w:name="_GoBack"/>
      <w:bookmarkEnd w:id="38"/>
    </w:p>
    <w:p>
      <w:pPr>
        <w:pStyle w:val="2"/>
        <w:bidi w:val="0"/>
        <w:rPr>
          <w:rFonts w:hint="eastAsia"/>
          <w:lang w:val="en-US" w:eastAsia="zh-CN"/>
        </w:rPr>
      </w:pPr>
      <w:bookmarkStart w:id="32" w:name="_Toc96938331"/>
      <w:bookmarkStart w:id="33" w:name="_Toc8058"/>
      <w:bookmarkStart w:id="34" w:name="_Toc5266"/>
    </w:p>
    <w:p>
      <w:pPr>
        <w:pStyle w:val="2"/>
        <w:bidi w:val="0"/>
      </w:pPr>
      <w:r>
        <w:rPr>
          <w:rFonts w:hint="eastAsia"/>
          <w:lang w:val="en-US" w:eastAsia="zh-CN"/>
        </w:rPr>
        <w:t xml:space="preserve">10 </w:t>
      </w:r>
      <w:r>
        <w:rPr>
          <w:rFonts w:hint="eastAsia"/>
        </w:rPr>
        <w:t>推广中心</w:t>
      </w:r>
      <w:bookmarkEnd w:id="32"/>
      <w:bookmarkEnd w:id="33"/>
      <w:bookmarkEnd w:id="34"/>
    </w:p>
    <w:p>
      <w:pPr>
        <w:pStyle w:val="11"/>
        <w:bidi w:val="0"/>
      </w:pPr>
      <w:r>
        <w:rPr>
          <w:rFonts w:hint="eastAsia"/>
        </w:rPr>
        <w:t>用户可通过分享邀请客户获取返利</w:t>
      </w:r>
    </w:p>
    <w:p>
      <w:pPr>
        <w:pStyle w:val="14"/>
        <w:bidi w:val="0"/>
      </w:pPr>
      <w:r>
        <w:drawing>
          <wp:inline distT="0" distB="0" distL="114300" distR="114300">
            <wp:extent cx="2757170" cy="4629785"/>
            <wp:effectExtent l="9525" t="9525" r="14605" b="2794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4629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2576830" cy="4654550"/>
            <wp:effectExtent l="9525" t="9525" r="23495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465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35" w:name="_Toc96938332"/>
      <w:bookmarkStart w:id="36" w:name="_Toc18666"/>
      <w:bookmarkStart w:id="37" w:name="_Toc13585"/>
      <w:r>
        <w:rPr>
          <w:rFonts w:hint="eastAsia"/>
        </w:rPr>
        <w:t>1</w:t>
      </w:r>
      <w:r>
        <w:rPr>
          <w:rFonts w:hint="eastAsia"/>
          <w:lang w:val="en-US" w:eastAsia="zh-CN"/>
        </w:rPr>
        <w:t xml:space="preserve">1 </w:t>
      </w:r>
      <w:r>
        <w:rPr>
          <w:rFonts w:hint="eastAsia"/>
        </w:rPr>
        <w:t>修改密码和退出登录</w:t>
      </w:r>
      <w:bookmarkEnd w:id="35"/>
      <w:bookmarkEnd w:id="36"/>
      <w:bookmarkEnd w:id="37"/>
    </w:p>
    <w:p>
      <w:pPr>
        <w:pStyle w:val="14"/>
        <w:bidi w:val="0"/>
        <w:rPr>
          <w:rFonts w:hint="eastAsia"/>
        </w:rPr>
      </w:pPr>
      <w:r>
        <w:drawing>
          <wp:inline distT="0" distB="0" distL="114300" distR="114300">
            <wp:extent cx="2591435" cy="4284980"/>
            <wp:effectExtent l="9525" t="9525" r="27940" b="1079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284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91105" cy="4283710"/>
            <wp:effectExtent l="9525" t="9525" r="1397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4283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567" w:right="1701" w:bottom="567" w:left="9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VT6jzeAgAAJg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BVT6jz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43"/>
    <w:rsid w:val="00004C84"/>
    <w:rsid w:val="000121E9"/>
    <w:rsid w:val="000A68A3"/>
    <w:rsid w:val="001B6D5E"/>
    <w:rsid w:val="001C6566"/>
    <w:rsid w:val="002C011A"/>
    <w:rsid w:val="0042614E"/>
    <w:rsid w:val="0055761D"/>
    <w:rsid w:val="006628C0"/>
    <w:rsid w:val="00672B65"/>
    <w:rsid w:val="00687BA2"/>
    <w:rsid w:val="006C602F"/>
    <w:rsid w:val="00725BAB"/>
    <w:rsid w:val="00831F2E"/>
    <w:rsid w:val="00844840"/>
    <w:rsid w:val="008D0C6D"/>
    <w:rsid w:val="009C3959"/>
    <w:rsid w:val="00A12843"/>
    <w:rsid w:val="00B7667F"/>
    <w:rsid w:val="00BF5AD0"/>
    <w:rsid w:val="00C26B22"/>
    <w:rsid w:val="00C36BCF"/>
    <w:rsid w:val="00D70E2E"/>
    <w:rsid w:val="00D9534F"/>
    <w:rsid w:val="00E07E4B"/>
    <w:rsid w:val="2904204A"/>
    <w:rsid w:val="61E2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50" w:beforeLines="50" w:after="50" w:afterLines="50" w:line="440" w:lineRule="exact"/>
      <w:outlineLvl w:val="0"/>
    </w:pPr>
    <w:rPr>
      <w:rFonts w:eastAsia="宋体" w:asciiTheme="minorAscii" w:hAnsiTheme="minorAscii"/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1"/>
    </w:pPr>
    <w:rPr>
      <w:rFonts w:ascii="Arial" w:hAnsi="Arial" w:eastAsia="宋体"/>
      <w:sz w:val="28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  <w:pPr>
      <w:tabs>
        <w:tab w:val="right" w:leader="dot" w:pos="8494"/>
      </w:tabs>
      <w:jc w:val="center"/>
    </w:pPr>
    <w:rPr>
      <w:sz w:val="28"/>
      <w:szCs w:val="28"/>
    </w:rPr>
  </w:style>
  <w:style w:type="paragraph" w:styleId="7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spacing w:line="440" w:lineRule="exact"/>
      <w:ind w:firstLine="420" w:firstLineChars="200"/>
    </w:pPr>
    <w:rPr>
      <w:rFonts w:eastAsia="宋体" w:asciiTheme="minorAscii" w:hAnsiTheme="minorAscii"/>
      <w:sz w:val="28"/>
    </w:rPr>
  </w:style>
  <w:style w:type="character" w:customStyle="1" w:styleId="12">
    <w:name w:val="页眉 字符"/>
    <w:basedOn w:val="9"/>
    <w:link w:val="5"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uiPriority w:val="99"/>
    <w:rPr>
      <w:sz w:val="18"/>
      <w:szCs w:val="18"/>
    </w:rPr>
  </w:style>
  <w:style w:type="paragraph" w:customStyle="1" w:styleId="14">
    <w:name w:val="样式1"/>
    <w:basedOn w:val="1"/>
    <w:next w:val="2"/>
    <w:link w:val="16"/>
    <w:qFormat/>
    <w:uiPriority w:val="0"/>
    <w:rPr>
      <w:b/>
      <w:bCs/>
      <w:color w:val="000000" w:themeColor="text1"/>
      <w:sz w:val="28"/>
      <w:szCs w:val="28"/>
      <w14:textFill>
        <w14:solidFill>
          <w14:schemeClr w14:val="tx1"/>
        </w14:solidFill>
      </w14:textFill>
    </w:rPr>
  </w:style>
  <w:style w:type="character" w:customStyle="1" w:styleId="15">
    <w:name w:val="标题 1 字符"/>
    <w:basedOn w:val="9"/>
    <w:link w:val="2"/>
    <w:uiPriority w:val="9"/>
    <w:rPr>
      <w:rFonts w:eastAsia="宋体" w:asciiTheme="minorAscii" w:hAnsiTheme="minorAscii"/>
      <w:b/>
      <w:bCs/>
      <w:kern w:val="44"/>
      <w:sz w:val="28"/>
      <w:szCs w:val="44"/>
    </w:rPr>
  </w:style>
  <w:style w:type="character" w:customStyle="1" w:styleId="16">
    <w:name w:val="样式1 字符"/>
    <w:basedOn w:val="9"/>
    <w:link w:val="14"/>
    <w:uiPriority w:val="0"/>
    <w:rPr>
      <w:b/>
      <w:bCs/>
      <w:color w:val="000000" w:themeColor="text1"/>
      <w:sz w:val="28"/>
      <w:szCs w:val="2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689A85-6686-4D8C-8B8C-17B32E9AB6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222</Words>
  <Characters>1270</Characters>
  <Lines>10</Lines>
  <Paragraphs>2</Paragraphs>
  <TotalTime>0</TotalTime>
  <ScaleCrop>false</ScaleCrop>
  <LinksUpToDate>false</LinksUpToDate>
  <CharactersWithSpaces>1490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2022-02-25T03:24:00Z</dcterms:created>
  <dc:creator>王 可爱</dc:creator>
  <cp:lastModifiedBy>WPS_1647936308</cp:lastModifiedBy>
  <dcterms:modified xsi:type="dcterms:W3CDTF">2022-07-19T08:49:00Z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54A9D69FDDE64169BED4B5B688E1A7BE</vt:lpwstr>
  </property>
</Properties>
</file>